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127"/>
        <w:gridCol w:w="1985"/>
        <w:gridCol w:w="6662"/>
      </w:tblGrid>
      <w:tr w:rsidR="00B04BCC" w14:paraId="721296AC" w14:textId="77777777" w:rsidTr="00A16F95">
        <w:tc>
          <w:tcPr>
            <w:tcW w:w="10774" w:type="dxa"/>
            <w:gridSpan w:val="3"/>
            <w:shd w:val="clear" w:color="auto" w:fill="A50021"/>
          </w:tcPr>
          <w:p w14:paraId="28AC38FA" w14:textId="77777777" w:rsidR="00B04BCC" w:rsidRPr="00B04BCC" w:rsidRDefault="00B04BCC" w:rsidP="00B04BCC">
            <w:pPr>
              <w:jc w:val="center"/>
              <w:rPr>
                <w:rFonts w:ascii="Comic Sans MS" w:hAnsi="Comic Sans MS"/>
              </w:rPr>
            </w:pPr>
            <w:r w:rsidRPr="00B04BCC">
              <w:rPr>
                <w:rFonts w:ascii="Comic Sans MS" w:hAnsi="Comic Sans MS"/>
              </w:rPr>
              <w:t>Teaching strategies to implement Rosenshin</w:t>
            </w:r>
            <w:r w:rsidR="00A16F95">
              <w:rPr>
                <w:rFonts w:ascii="Comic Sans MS" w:hAnsi="Comic Sans MS"/>
              </w:rPr>
              <w:t xml:space="preserve">e’s principles in </w:t>
            </w:r>
            <w:proofErr w:type="spellStart"/>
            <w:r w:rsidR="00A16F95">
              <w:rPr>
                <w:rFonts w:ascii="Comic Sans MS" w:hAnsi="Comic Sans MS"/>
              </w:rPr>
              <w:t>Georgraphy</w:t>
            </w:r>
            <w:proofErr w:type="spellEnd"/>
          </w:p>
        </w:tc>
      </w:tr>
      <w:tr w:rsidR="00B04BCC" w14:paraId="2ACEEB0B" w14:textId="77777777" w:rsidTr="00A16F95">
        <w:tc>
          <w:tcPr>
            <w:tcW w:w="2127" w:type="dxa"/>
            <w:vMerge w:val="restart"/>
            <w:shd w:val="clear" w:color="auto" w:fill="D97979"/>
          </w:tcPr>
          <w:p w14:paraId="4E2B4C1B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Daily Review/ Weekly Review/ Termly Review</w:t>
            </w:r>
          </w:p>
        </w:tc>
        <w:tc>
          <w:tcPr>
            <w:tcW w:w="1985" w:type="dxa"/>
          </w:tcPr>
          <w:p w14:paraId="6E1378F4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Flashcards</w:t>
            </w:r>
          </w:p>
        </w:tc>
        <w:tc>
          <w:tcPr>
            <w:tcW w:w="6662" w:type="dxa"/>
          </w:tcPr>
          <w:p w14:paraId="7C141DFA" w14:textId="77777777" w:rsidR="00B04BCC" w:rsidRPr="00B04BCC" w:rsidRDefault="00B04BCC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Recap prior words and definitions on flashcards </w:t>
            </w:r>
          </w:p>
        </w:tc>
      </w:tr>
      <w:tr w:rsidR="00B04BCC" w14:paraId="33767E7B" w14:textId="77777777" w:rsidTr="00A16F95">
        <w:tc>
          <w:tcPr>
            <w:tcW w:w="2127" w:type="dxa"/>
            <w:vMerge/>
            <w:shd w:val="clear" w:color="auto" w:fill="D97979"/>
          </w:tcPr>
          <w:p w14:paraId="5F1BDC23" w14:textId="77777777" w:rsidR="00B04BCC" w:rsidRP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AD90E12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6662" w:type="dxa"/>
          </w:tcPr>
          <w:p w14:paraId="03FD9CD6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knowledge organiser to devise a quiz around the vocabulary and definitions children have been exposed to – this could be built up over a project/series of lessons</w:t>
            </w:r>
          </w:p>
        </w:tc>
      </w:tr>
      <w:tr w:rsidR="00B04BCC" w14:paraId="63C92DCD" w14:textId="77777777" w:rsidTr="00A16F95">
        <w:tc>
          <w:tcPr>
            <w:tcW w:w="2127" w:type="dxa"/>
            <w:vMerge/>
            <w:shd w:val="clear" w:color="auto" w:fill="D97979"/>
          </w:tcPr>
          <w:p w14:paraId="63DF0C20" w14:textId="77777777" w:rsidR="00B04BCC" w:rsidRP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EE1007D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generator</w:t>
            </w:r>
          </w:p>
        </w:tc>
        <w:tc>
          <w:tcPr>
            <w:tcW w:w="6662" w:type="dxa"/>
          </w:tcPr>
          <w:p w14:paraId="18DCA596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 all taught vocabulary into a generator when it lands on a word children have to give the definition</w:t>
            </w:r>
          </w:p>
        </w:tc>
      </w:tr>
      <w:tr w:rsidR="00B04BCC" w14:paraId="3E62F23A" w14:textId="77777777" w:rsidTr="00A16F95">
        <w:tc>
          <w:tcPr>
            <w:tcW w:w="2127" w:type="dxa"/>
            <w:vMerge/>
            <w:shd w:val="clear" w:color="auto" w:fill="D97979"/>
          </w:tcPr>
          <w:p w14:paraId="37EF0829" w14:textId="77777777" w:rsidR="00B04BCC" w:rsidRP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6818DBF1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Partners</w:t>
            </w:r>
          </w:p>
        </w:tc>
        <w:tc>
          <w:tcPr>
            <w:tcW w:w="6662" w:type="dxa"/>
          </w:tcPr>
          <w:p w14:paraId="1CBA9E98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pairs, give one child the vocabulary list, the other child has to give the meaning of these</w:t>
            </w:r>
            <w:r w:rsidR="004E45AA">
              <w:rPr>
                <w:rFonts w:ascii="Comic Sans MS" w:hAnsi="Comic Sans MS"/>
              </w:rPr>
              <w:t xml:space="preserve"> words. Swap over and have a go</w:t>
            </w:r>
          </w:p>
        </w:tc>
      </w:tr>
      <w:tr w:rsidR="00B04BCC" w14:paraId="05BD1A3D" w14:textId="77777777" w:rsidTr="00A16F95">
        <w:tc>
          <w:tcPr>
            <w:tcW w:w="2127" w:type="dxa"/>
            <w:vMerge/>
            <w:shd w:val="clear" w:color="auto" w:fill="D97979"/>
          </w:tcPr>
          <w:p w14:paraId="74F38012" w14:textId="77777777" w:rsidR="00B04BCC" w:rsidRP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C852D0C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Matching Activity</w:t>
            </w:r>
          </w:p>
        </w:tc>
        <w:tc>
          <w:tcPr>
            <w:tcW w:w="6662" w:type="dxa"/>
          </w:tcPr>
          <w:p w14:paraId="5C1DFE99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children word sort cards – can they match the definition to the vocabulary</w:t>
            </w:r>
          </w:p>
        </w:tc>
      </w:tr>
      <w:tr w:rsidR="00B04BCC" w14:paraId="510293F8" w14:textId="77777777" w:rsidTr="00A16F95">
        <w:tc>
          <w:tcPr>
            <w:tcW w:w="2127" w:type="dxa"/>
            <w:vMerge/>
            <w:shd w:val="clear" w:color="auto" w:fill="D97979"/>
          </w:tcPr>
          <w:p w14:paraId="42A443CB" w14:textId="77777777" w:rsidR="00B04BCC" w:rsidRP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2C98DFA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True or False</w:t>
            </w:r>
          </w:p>
        </w:tc>
        <w:tc>
          <w:tcPr>
            <w:tcW w:w="6662" w:type="dxa"/>
          </w:tcPr>
          <w:p w14:paraId="79587161" w14:textId="77777777" w:rsidR="00B04BCC" w:rsidRP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children a key piece of vocabulary and three definitions. Can children identify the one true definition and two false definitions (Extension – can they explain their understanding and how they knew e.g. drawing upon language choices)</w:t>
            </w:r>
          </w:p>
        </w:tc>
      </w:tr>
      <w:tr w:rsidR="004E45AA" w14:paraId="187B34ED" w14:textId="77777777" w:rsidTr="00A16F95">
        <w:tc>
          <w:tcPr>
            <w:tcW w:w="2127" w:type="dxa"/>
            <w:vMerge/>
            <w:shd w:val="clear" w:color="auto" w:fill="D97979"/>
          </w:tcPr>
          <w:p w14:paraId="6AF36323" w14:textId="77777777" w:rsidR="004E45AA" w:rsidRPr="00B04BCC" w:rsidRDefault="004E45AA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62F31F3" w14:textId="77777777" w:rsidR="004E45AA" w:rsidRDefault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Bingo </w:t>
            </w:r>
          </w:p>
        </w:tc>
        <w:tc>
          <w:tcPr>
            <w:tcW w:w="6662" w:type="dxa"/>
          </w:tcPr>
          <w:p w14:paraId="2B9BF10C" w14:textId="77777777" w:rsidR="004E45AA" w:rsidRDefault="00935432" w:rsidP="009354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Bin</w:t>
            </w:r>
            <w:r w:rsidR="0078192C">
              <w:rPr>
                <w:rFonts w:ascii="Comic Sans MS" w:hAnsi="Comic Sans MS"/>
              </w:rPr>
              <w:t xml:space="preserve">go cards with 4/6/8 different words from </w:t>
            </w:r>
            <w:r>
              <w:rPr>
                <w:rFonts w:ascii="Comic Sans MS" w:hAnsi="Comic Sans MS"/>
              </w:rPr>
              <w:t xml:space="preserve">the </w:t>
            </w:r>
            <w:r w:rsidR="0078192C">
              <w:rPr>
                <w:rFonts w:ascii="Comic Sans MS" w:hAnsi="Comic Sans MS"/>
              </w:rPr>
              <w:t>vocab list</w:t>
            </w:r>
            <w:r>
              <w:rPr>
                <w:rFonts w:ascii="Comic Sans MS" w:hAnsi="Comic Sans MS"/>
              </w:rPr>
              <w:t xml:space="preserve"> – teacher to read out the definition and children to use counters to cover up words until they have ‘house’ </w:t>
            </w:r>
          </w:p>
        </w:tc>
      </w:tr>
      <w:tr w:rsidR="0078192C" w14:paraId="0ED5F9D3" w14:textId="77777777" w:rsidTr="00A16F95">
        <w:tc>
          <w:tcPr>
            <w:tcW w:w="2127" w:type="dxa"/>
            <w:vMerge/>
            <w:shd w:val="clear" w:color="auto" w:fill="D97979"/>
          </w:tcPr>
          <w:p w14:paraId="49AA1A39" w14:textId="77777777" w:rsidR="0078192C" w:rsidRPr="00B04BCC" w:rsidRDefault="0078192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1DBCEA68" w14:textId="77777777" w:rsidR="0078192C" w:rsidRDefault="00781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1 2 3 </w:t>
            </w:r>
          </w:p>
        </w:tc>
        <w:tc>
          <w:tcPr>
            <w:tcW w:w="6662" w:type="dxa"/>
          </w:tcPr>
          <w:p w14:paraId="73794842" w14:textId="77777777" w:rsidR="0078192C" w:rsidRDefault="0078192C" w:rsidP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pre</w:t>
            </w:r>
            <w:r w:rsidR="00935432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taught information around the room children take it in turns to find and recall information from the facts around the room </w:t>
            </w:r>
            <w:r w:rsidR="00935432">
              <w:rPr>
                <w:rFonts w:ascii="Comic Sans MS" w:hAnsi="Comic Sans MS"/>
              </w:rPr>
              <w:t xml:space="preserve">and then remember the fact and write it down on their group whiteboards </w:t>
            </w:r>
          </w:p>
        </w:tc>
      </w:tr>
      <w:tr w:rsidR="00B04BCC" w14:paraId="77654553" w14:textId="77777777" w:rsidTr="00A16F95">
        <w:tc>
          <w:tcPr>
            <w:tcW w:w="2127" w:type="dxa"/>
            <w:vMerge/>
            <w:shd w:val="clear" w:color="auto" w:fill="D97979"/>
          </w:tcPr>
          <w:p w14:paraId="41DDD238" w14:textId="77777777" w:rsidR="00B04BCC" w:rsidRP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5D67B84" w14:textId="77777777" w:rsidR="00B04BCC" w:rsidRDefault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evaluation</w:t>
            </w:r>
          </w:p>
        </w:tc>
        <w:tc>
          <w:tcPr>
            <w:tcW w:w="6662" w:type="dxa"/>
          </w:tcPr>
          <w:p w14:paraId="404D7A9A" w14:textId="77777777" w:rsidR="00B04BCC" w:rsidRDefault="00B04BCC" w:rsidP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Give children a picture of </w:t>
            </w:r>
            <w:r w:rsidR="00780BE9">
              <w:rPr>
                <w:rFonts w:ascii="Comic Sans MS" w:hAnsi="Comic Sans MS"/>
              </w:rPr>
              <w:t>a historical event or person</w:t>
            </w:r>
            <w:r>
              <w:rPr>
                <w:rFonts w:ascii="Comic Sans MS" w:hAnsi="Comic Sans MS"/>
              </w:rPr>
              <w:t xml:space="preserve"> – recall as many pieces of knowledg</w:t>
            </w:r>
            <w:r w:rsidR="004E45AA">
              <w:rPr>
                <w:rFonts w:ascii="Comic Sans MS" w:hAnsi="Comic Sans MS"/>
              </w:rPr>
              <w:t xml:space="preserve">e as possible </w:t>
            </w:r>
            <w:r>
              <w:rPr>
                <w:rFonts w:ascii="Comic Sans MS" w:hAnsi="Comic Sans MS"/>
              </w:rPr>
              <w:t xml:space="preserve">using </w:t>
            </w:r>
            <w:r w:rsidR="004E45AA">
              <w:rPr>
                <w:rFonts w:ascii="Comic Sans MS" w:hAnsi="Comic Sans MS"/>
              </w:rPr>
              <w:t xml:space="preserve">appropriate </w:t>
            </w:r>
            <w:r>
              <w:rPr>
                <w:rFonts w:ascii="Comic Sans MS" w:hAnsi="Comic Sans MS"/>
              </w:rPr>
              <w:t>technical vocabulary</w:t>
            </w:r>
          </w:p>
        </w:tc>
      </w:tr>
      <w:tr w:rsidR="004E45AA" w14:paraId="76C5991A" w14:textId="77777777" w:rsidTr="00A16F95">
        <w:tc>
          <w:tcPr>
            <w:tcW w:w="2127" w:type="dxa"/>
            <w:vMerge/>
            <w:shd w:val="clear" w:color="auto" w:fill="D97979"/>
          </w:tcPr>
          <w:p w14:paraId="03218A20" w14:textId="77777777" w:rsidR="004E45AA" w:rsidRPr="00B04BCC" w:rsidRDefault="004E45AA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8BCA29A" w14:textId="77777777" w:rsidR="004E45AA" w:rsidRDefault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Missing information</w:t>
            </w:r>
          </w:p>
        </w:tc>
        <w:tc>
          <w:tcPr>
            <w:tcW w:w="6662" w:type="dxa"/>
          </w:tcPr>
          <w:p w14:paraId="37B6B189" w14:textId="77777777" w:rsidR="004E45AA" w:rsidRDefault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Withdraw some pieces of information from the knowledge organiser/display – children to fill in the blanks</w:t>
            </w:r>
          </w:p>
        </w:tc>
      </w:tr>
      <w:tr w:rsidR="0078192C" w14:paraId="626D970B" w14:textId="77777777" w:rsidTr="00A16F95">
        <w:tc>
          <w:tcPr>
            <w:tcW w:w="2127" w:type="dxa"/>
            <w:vMerge/>
            <w:shd w:val="clear" w:color="auto" w:fill="D97979"/>
          </w:tcPr>
          <w:p w14:paraId="158F6D77" w14:textId="77777777" w:rsidR="0078192C" w:rsidRPr="00B04BCC" w:rsidRDefault="0078192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A671AD0" w14:textId="77777777" w:rsidR="0078192C" w:rsidRDefault="0078192C" w:rsidP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Domino Game </w:t>
            </w:r>
          </w:p>
        </w:tc>
        <w:tc>
          <w:tcPr>
            <w:tcW w:w="6662" w:type="dxa"/>
          </w:tcPr>
          <w:p w14:paraId="207C7A53" w14:textId="77777777" w:rsidR="0078192C" w:rsidRDefault="0078192C" w:rsidP="00781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have the first part of a sentence and then match this to the end of the sentence </w:t>
            </w:r>
            <w:r w:rsidR="00935432">
              <w:rPr>
                <w:rFonts w:ascii="Comic Sans MS" w:hAnsi="Comic Sans MS"/>
              </w:rPr>
              <w:t xml:space="preserve">so the sentence makes sense (give more than one option) 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8192C" w14:paraId="2EDC54DD" w14:textId="77777777" w:rsidTr="00A16F95">
        <w:tc>
          <w:tcPr>
            <w:tcW w:w="2127" w:type="dxa"/>
            <w:vMerge/>
            <w:shd w:val="clear" w:color="auto" w:fill="D97979"/>
          </w:tcPr>
          <w:p w14:paraId="2148797C" w14:textId="77777777" w:rsidR="0078192C" w:rsidRPr="00B04BCC" w:rsidRDefault="0078192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74694084" w14:textId="77777777" w:rsidR="0078192C" w:rsidRDefault="0078192C" w:rsidP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Rocking Robin </w:t>
            </w:r>
          </w:p>
        </w:tc>
        <w:tc>
          <w:tcPr>
            <w:tcW w:w="6662" w:type="dxa"/>
          </w:tcPr>
          <w:p w14:paraId="04DD0A2F" w14:textId="77777777" w:rsidR="0078192C" w:rsidRDefault="0078192C" w:rsidP="00781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Children work in teams to generate vocabulary/facts on large sheets of paper and then move around each table to add any more words to the work of other teams </w:t>
            </w:r>
          </w:p>
        </w:tc>
      </w:tr>
      <w:tr w:rsidR="00B04BCC" w14:paraId="13349F40" w14:textId="77777777" w:rsidTr="00A16F95">
        <w:tc>
          <w:tcPr>
            <w:tcW w:w="2127" w:type="dxa"/>
            <w:vMerge/>
            <w:shd w:val="clear" w:color="auto" w:fill="D97979"/>
          </w:tcPr>
          <w:p w14:paraId="55B06711" w14:textId="77777777" w:rsidR="00B04BCC" w:rsidRPr="00B04BCC" w:rsidRDefault="00B04BCC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6B6EEDA3" w14:textId="77777777" w:rsidR="00B04BCC" w:rsidRDefault="004E45AA" w:rsidP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End of half term presentation  </w:t>
            </w:r>
          </w:p>
        </w:tc>
        <w:tc>
          <w:tcPr>
            <w:tcW w:w="6662" w:type="dxa"/>
          </w:tcPr>
          <w:p w14:paraId="199F66BA" w14:textId="77777777" w:rsidR="00B04BCC" w:rsidRDefault="004E4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in teams to present what they have found out abo</w:t>
            </w:r>
            <w:r w:rsidR="00C132F6">
              <w:rPr>
                <w:rFonts w:ascii="Comic Sans MS" w:hAnsi="Comic Sans MS"/>
              </w:rPr>
              <w:t xml:space="preserve">ut the geographical unit </w:t>
            </w:r>
            <w:r>
              <w:rPr>
                <w:rFonts w:ascii="Comic Sans MS" w:hAnsi="Comic Sans MS"/>
              </w:rPr>
              <w:t xml:space="preserve">they have been studying over the half term </w:t>
            </w:r>
          </w:p>
        </w:tc>
      </w:tr>
      <w:tr w:rsidR="003A4E40" w14:paraId="23836CA4" w14:textId="77777777" w:rsidTr="00A16F95">
        <w:trPr>
          <w:trHeight w:val="670"/>
        </w:trPr>
        <w:tc>
          <w:tcPr>
            <w:tcW w:w="2127" w:type="dxa"/>
            <w:vMerge w:val="restart"/>
            <w:shd w:val="clear" w:color="auto" w:fill="D52F2F"/>
          </w:tcPr>
          <w:p w14:paraId="64CE1E22" w14:textId="77777777" w:rsidR="003A4E40" w:rsidRPr="00B04BCC" w:rsidRDefault="003A4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Providing Models</w:t>
            </w:r>
          </w:p>
        </w:tc>
        <w:tc>
          <w:tcPr>
            <w:tcW w:w="1985" w:type="dxa"/>
          </w:tcPr>
          <w:p w14:paraId="5266EDEB" w14:textId="77777777" w:rsidR="003A4E40" w:rsidRDefault="003A4E40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Verbalise </w:t>
            </w:r>
          </w:p>
        </w:tc>
        <w:tc>
          <w:tcPr>
            <w:tcW w:w="6662" w:type="dxa"/>
          </w:tcPr>
          <w:p w14:paraId="51C23BF8" w14:textId="77777777" w:rsidR="003A4E40" w:rsidRDefault="003A4E40" w:rsidP="00F41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Teacher to verbalise their thought process as they model/work through examples    </w:t>
            </w:r>
          </w:p>
        </w:tc>
      </w:tr>
      <w:tr w:rsidR="00F418F4" w14:paraId="127CA1D4" w14:textId="77777777" w:rsidTr="00A16F95">
        <w:tc>
          <w:tcPr>
            <w:tcW w:w="2127" w:type="dxa"/>
            <w:vMerge/>
            <w:shd w:val="clear" w:color="auto" w:fill="D52F2F"/>
          </w:tcPr>
          <w:p w14:paraId="03EB975D" w14:textId="77777777" w:rsidR="00F418F4" w:rsidRDefault="00F418F4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01A7EB7" w14:textId="77777777" w:rsidR="00F418F4" w:rsidRDefault="00F418F4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Practical demonstration of skill</w:t>
            </w:r>
          </w:p>
        </w:tc>
        <w:tc>
          <w:tcPr>
            <w:tcW w:w="6662" w:type="dxa"/>
          </w:tcPr>
          <w:p w14:paraId="137BE13D" w14:textId="77777777" w:rsidR="00F418F4" w:rsidRDefault="00F418F4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Practical demonstration in small chunks of the skill being taught for example using chronology to build a timeline or the skill of historical enquiry using different sources  </w:t>
            </w:r>
          </w:p>
        </w:tc>
      </w:tr>
      <w:tr w:rsidR="00F418F4" w14:paraId="6CB51890" w14:textId="77777777" w:rsidTr="00A16F95">
        <w:tc>
          <w:tcPr>
            <w:tcW w:w="2127" w:type="dxa"/>
            <w:vMerge/>
            <w:shd w:val="clear" w:color="auto" w:fill="D52F2F"/>
          </w:tcPr>
          <w:p w14:paraId="5258FA7E" w14:textId="77777777" w:rsidR="00F418F4" w:rsidRDefault="00F418F4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A8E93D0" w14:textId="77777777" w:rsidR="00F418F4" w:rsidRDefault="00F418F4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Steps to success</w:t>
            </w:r>
          </w:p>
        </w:tc>
        <w:tc>
          <w:tcPr>
            <w:tcW w:w="6662" w:type="dxa"/>
          </w:tcPr>
          <w:p w14:paraId="0AC96F07" w14:textId="77777777" w:rsidR="00F418F4" w:rsidRDefault="00F418F4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Steps to success displayed in smart art on IWB for children to refer back to. This can be in the form of visual instructions</w:t>
            </w:r>
          </w:p>
        </w:tc>
      </w:tr>
      <w:tr w:rsidR="003A4E40" w14:paraId="0070F9F6" w14:textId="77777777" w:rsidTr="00A16F95">
        <w:trPr>
          <w:trHeight w:val="577"/>
        </w:trPr>
        <w:tc>
          <w:tcPr>
            <w:tcW w:w="2127" w:type="dxa"/>
            <w:vMerge/>
            <w:shd w:val="clear" w:color="auto" w:fill="D52F2F"/>
          </w:tcPr>
          <w:p w14:paraId="7A7C2EEA" w14:textId="77777777" w:rsidR="003A4E40" w:rsidRDefault="003A4E40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920C8B6" w14:textId="77777777" w:rsidR="003A4E40" w:rsidRDefault="003A4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being withdrawn</w:t>
            </w:r>
          </w:p>
        </w:tc>
        <w:tc>
          <w:tcPr>
            <w:tcW w:w="6662" w:type="dxa"/>
          </w:tcPr>
          <w:p w14:paraId="49C0B1C7" w14:textId="77777777" w:rsidR="003A4E40" w:rsidRDefault="003A4E40" w:rsidP="00F41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each stage of the practical process children may have some steps of the process omitted in the visual steps to success</w:t>
            </w:r>
          </w:p>
        </w:tc>
      </w:tr>
      <w:tr w:rsidR="00F418F4" w14:paraId="20AEDEB4" w14:textId="77777777" w:rsidTr="00A16F95">
        <w:tc>
          <w:tcPr>
            <w:tcW w:w="2127" w:type="dxa"/>
            <w:vMerge w:val="restart"/>
            <w:shd w:val="clear" w:color="auto" w:fill="A32D35"/>
          </w:tcPr>
          <w:p w14:paraId="0931FD9B" w14:textId="77777777" w:rsidR="00F418F4" w:rsidRDefault="00F41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Scaffolding</w:t>
            </w:r>
          </w:p>
        </w:tc>
        <w:tc>
          <w:tcPr>
            <w:tcW w:w="1985" w:type="dxa"/>
          </w:tcPr>
          <w:p w14:paraId="5DDACF5E" w14:textId="77777777" w:rsidR="00F418F4" w:rsidRDefault="00F41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and definitions</w:t>
            </w:r>
          </w:p>
        </w:tc>
        <w:tc>
          <w:tcPr>
            <w:tcW w:w="6662" w:type="dxa"/>
          </w:tcPr>
          <w:p w14:paraId="2E5226FF" w14:textId="77777777" w:rsidR="00F418F4" w:rsidRDefault="00F418F4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be provided with a list of vocabulary and their defi</w:t>
            </w:r>
            <w:r w:rsidR="003A4E40">
              <w:rPr>
                <w:rFonts w:ascii="Comic Sans MS" w:hAnsi="Comic Sans MS"/>
              </w:rPr>
              <w:t xml:space="preserve">nitions </w:t>
            </w:r>
            <w:r>
              <w:rPr>
                <w:rFonts w:ascii="Comic Sans MS" w:hAnsi="Comic Sans MS"/>
              </w:rPr>
              <w:t>– children have to choose the appropriate ones to use (this can be lessened over time)</w:t>
            </w:r>
          </w:p>
        </w:tc>
      </w:tr>
      <w:tr w:rsidR="00F418F4" w14:paraId="3ABD8C68" w14:textId="77777777" w:rsidTr="00A16F95">
        <w:tc>
          <w:tcPr>
            <w:tcW w:w="2127" w:type="dxa"/>
            <w:vMerge/>
            <w:shd w:val="clear" w:color="auto" w:fill="A32D35"/>
          </w:tcPr>
          <w:p w14:paraId="6FA25F9A" w14:textId="77777777" w:rsidR="00F418F4" w:rsidRDefault="00F418F4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433A8A56" w14:textId="77777777" w:rsidR="00F418F4" w:rsidRDefault="00F418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organiser</w:t>
            </w:r>
          </w:p>
        </w:tc>
        <w:tc>
          <w:tcPr>
            <w:tcW w:w="6662" w:type="dxa"/>
          </w:tcPr>
          <w:p w14:paraId="37D9D498" w14:textId="77777777" w:rsidR="00F418F4" w:rsidRDefault="00F418F4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 a series of lessons/project information can be withdrawn from the knowledge organiser in order to develop recall of key facts and definitions</w:t>
            </w:r>
          </w:p>
        </w:tc>
      </w:tr>
      <w:tr w:rsidR="003A4E40" w14:paraId="6F3C508B" w14:textId="77777777" w:rsidTr="00A16F95">
        <w:tc>
          <w:tcPr>
            <w:tcW w:w="2127" w:type="dxa"/>
            <w:vMerge/>
            <w:shd w:val="clear" w:color="auto" w:fill="A32D35"/>
          </w:tcPr>
          <w:p w14:paraId="14C04CAC" w14:textId="77777777" w:rsidR="003A4E40" w:rsidRDefault="003A4E40" w:rsidP="003A4E40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304A22A0" w14:textId="77777777" w:rsidR="003A4E40" w:rsidRDefault="003A4E40" w:rsidP="003A4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Sentence stems </w:t>
            </w:r>
          </w:p>
        </w:tc>
        <w:tc>
          <w:tcPr>
            <w:tcW w:w="6662" w:type="dxa"/>
          </w:tcPr>
          <w:p w14:paraId="271F1A2F" w14:textId="77777777" w:rsidR="003A4E40" w:rsidRDefault="003A4E40" w:rsidP="003A4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Provide children with the sentence stems they need to talk like a historian   </w:t>
            </w:r>
          </w:p>
        </w:tc>
      </w:tr>
      <w:tr w:rsidR="003A4E40" w14:paraId="34B13122" w14:textId="77777777" w:rsidTr="00A16F95">
        <w:tc>
          <w:tcPr>
            <w:tcW w:w="2127" w:type="dxa"/>
            <w:vMerge/>
            <w:shd w:val="clear" w:color="auto" w:fill="A32D35"/>
          </w:tcPr>
          <w:p w14:paraId="77EACBAB" w14:textId="77777777" w:rsidR="003A4E40" w:rsidRDefault="003A4E40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059463F9" w14:textId="77777777" w:rsidR="003A4E40" w:rsidRDefault="003A4E40" w:rsidP="003A4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Peer support </w:t>
            </w:r>
          </w:p>
        </w:tc>
        <w:tc>
          <w:tcPr>
            <w:tcW w:w="6662" w:type="dxa"/>
          </w:tcPr>
          <w:p w14:paraId="28CBFCE2" w14:textId="77777777" w:rsidR="003A4E40" w:rsidRDefault="003A4E40" w:rsidP="00B04B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work with partners/in groups to discuss their ideas and produce work</w:t>
            </w:r>
          </w:p>
        </w:tc>
      </w:tr>
      <w:tr w:rsidR="00F418F4" w14:paraId="064F93D6" w14:textId="77777777" w:rsidTr="00A16F95">
        <w:tc>
          <w:tcPr>
            <w:tcW w:w="2127" w:type="dxa"/>
            <w:vMerge/>
            <w:shd w:val="clear" w:color="auto" w:fill="A32D35"/>
          </w:tcPr>
          <w:p w14:paraId="0CB6C6B0" w14:textId="77777777" w:rsidR="00F418F4" w:rsidRDefault="00F418F4">
            <w:pPr>
              <w:rPr>
                <w:rFonts w:ascii="Comic Sans MS" w:hAnsi="Comic Sans MS"/>
              </w:rPr>
            </w:pPr>
          </w:p>
        </w:tc>
        <w:tc>
          <w:tcPr>
            <w:tcW w:w="1985" w:type="dxa"/>
          </w:tcPr>
          <w:p w14:paraId="5AF0FF8A" w14:textId="77777777" w:rsidR="00F418F4" w:rsidRDefault="003A4E40" w:rsidP="003A4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Visual images of the past   </w:t>
            </w:r>
          </w:p>
        </w:tc>
        <w:tc>
          <w:tcPr>
            <w:tcW w:w="6662" w:type="dxa"/>
          </w:tcPr>
          <w:p w14:paraId="6A883469" w14:textId="77777777" w:rsidR="00F418F4" w:rsidRDefault="003A4E40" w:rsidP="003A4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Support children with lots of visual images around the room/at tables to imme</w:t>
            </w:r>
            <w:r w:rsidR="00C132F6">
              <w:rPr>
                <w:rFonts w:ascii="Comic Sans MS" w:hAnsi="Comic Sans MS"/>
              </w:rPr>
              <w:t xml:space="preserve">rse them in geographical symbols and pictures. </w:t>
            </w:r>
          </w:p>
        </w:tc>
      </w:tr>
    </w:tbl>
    <w:p w14:paraId="35E73D9A" w14:textId="77777777" w:rsidR="00693BD9" w:rsidRDefault="00693BD9">
      <w:bookmarkStart w:id="0" w:name="_GoBack"/>
      <w:bookmarkEnd w:id="0"/>
    </w:p>
    <w:sectPr w:rsidR="00693BD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F9FC" w14:textId="77777777" w:rsidR="00487C8B" w:rsidRDefault="00487C8B" w:rsidP="009E5C34">
      <w:pPr>
        <w:spacing w:after="0" w:line="240" w:lineRule="auto"/>
      </w:pPr>
      <w:r>
        <w:separator/>
      </w:r>
    </w:p>
  </w:endnote>
  <w:endnote w:type="continuationSeparator" w:id="0">
    <w:p w14:paraId="10475B06" w14:textId="77777777" w:rsidR="00487C8B" w:rsidRDefault="00487C8B" w:rsidP="009E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937A" w14:textId="77777777" w:rsidR="00487C8B" w:rsidRDefault="00487C8B" w:rsidP="009E5C34">
      <w:pPr>
        <w:spacing w:after="0" w:line="240" w:lineRule="auto"/>
      </w:pPr>
      <w:r>
        <w:separator/>
      </w:r>
    </w:p>
  </w:footnote>
  <w:footnote w:type="continuationSeparator" w:id="0">
    <w:p w14:paraId="099D3508" w14:textId="77777777" w:rsidR="00487C8B" w:rsidRDefault="00487C8B" w:rsidP="009E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C318" w14:textId="77777777" w:rsidR="002F5D45" w:rsidRDefault="002F5D45" w:rsidP="002F5D45">
    <w:r>
      <w:rPr>
        <w:noProof/>
      </w:rPr>
      <w:drawing>
        <wp:anchor distT="0" distB="0" distL="114300" distR="114300" simplePos="0" relativeHeight="251659264" behindDoc="1" locked="0" layoutInCell="1" allowOverlap="1" wp14:anchorId="0607E3D3" wp14:editId="77BBC887">
          <wp:simplePos x="0" y="0"/>
          <wp:positionH relativeFrom="margin">
            <wp:align>center</wp:align>
          </wp:positionH>
          <wp:positionV relativeFrom="paragraph">
            <wp:posOffset>-340995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96B47" w14:textId="77777777" w:rsidR="002F5D45" w:rsidRPr="00352EC9" w:rsidRDefault="002F5D45" w:rsidP="002F5D45">
    <w:pPr>
      <w:jc w:val="center"/>
      <w:rPr>
        <w:color w:val="0070C0"/>
        <w:szCs w:val="28"/>
      </w:rPr>
    </w:pPr>
    <w:bookmarkStart w:id="1" w:name="_Hlk82686002"/>
    <w:bookmarkStart w:id="2" w:name="_Hlk83967965"/>
    <w:r w:rsidRPr="00352EC9">
      <w:rPr>
        <w:rFonts w:ascii="Lucida Handwriting" w:hAnsi="Lucida Handwriting"/>
        <w:color w:val="0070C0"/>
        <w:szCs w:val="28"/>
        <w:bdr w:val="none" w:sz="0" w:space="0" w:color="auto" w:frame="1"/>
        <w:shd w:val="clear" w:color="auto" w:fill="FFFFFF"/>
      </w:rPr>
      <w:t>"Where children are at the heart of every decision to inspire brighter futures"</w:t>
    </w:r>
    <w:bookmarkEnd w:id="1"/>
  </w:p>
  <w:p w14:paraId="20054A80" w14:textId="77777777" w:rsidR="002F5D45" w:rsidRPr="00352EC9" w:rsidRDefault="002F5D45" w:rsidP="002F5D45">
    <w:pPr>
      <w:spacing w:after="0" w:line="256" w:lineRule="auto"/>
      <w:jc w:val="center"/>
      <w:rPr>
        <w:rFonts w:ascii="Bradley Hand ITC" w:eastAsia="Arial" w:hAnsi="Bradley Hand ITC" w:cs="Arial"/>
        <w:color w:val="0070C0"/>
        <w:sz w:val="28"/>
        <w:szCs w:val="36"/>
      </w:rPr>
    </w:pPr>
    <w:r w:rsidRPr="00352EC9">
      <w:rPr>
        <w:rFonts w:ascii="Bradley Hand ITC" w:hAnsi="Bradley Hand ITC"/>
        <w:b/>
        <w:color w:val="0070C0"/>
        <w:sz w:val="28"/>
        <w:szCs w:val="36"/>
      </w:rPr>
      <w:t>Respect, Responsibility, Recognition and Resilience</w:t>
    </w:r>
  </w:p>
  <w:bookmarkEnd w:id="2"/>
  <w:p w14:paraId="702F1522" w14:textId="77777777" w:rsidR="009E5C34" w:rsidRDefault="009E5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CC"/>
    <w:rsid w:val="002A0698"/>
    <w:rsid w:val="002F5D45"/>
    <w:rsid w:val="0038679D"/>
    <w:rsid w:val="003A4E40"/>
    <w:rsid w:val="00487C8B"/>
    <w:rsid w:val="004E45AA"/>
    <w:rsid w:val="00693BD9"/>
    <w:rsid w:val="00780BE9"/>
    <w:rsid w:val="0078192C"/>
    <w:rsid w:val="0086519C"/>
    <w:rsid w:val="00935432"/>
    <w:rsid w:val="009E5C34"/>
    <w:rsid w:val="00A16F95"/>
    <w:rsid w:val="00A33F3C"/>
    <w:rsid w:val="00A42730"/>
    <w:rsid w:val="00B04BCC"/>
    <w:rsid w:val="00B358CD"/>
    <w:rsid w:val="00C062EB"/>
    <w:rsid w:val="00C132F6"/>
    <w:rsid w:val="00C32174"/>
    <w:rsid w:val="00C973C9"/>
    <w:rsid w:val="00CD3723"/>
    <w:rsid w:val="00D97E14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09803"/>
  <w15:chartTrackingRefBased/>
  <w15:docId w15:val="{242AFB39-8BB1-4E9B-AEC2-18802C0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34"/>
  </w:style>
  <w:style w:type="paragraph" w:styleId="Footer">
    <w:name w:val="footer"/>
    <w:basedOn w:val="Normal"/>
    <w:link w:val="FooterChar"/>
    <w:uiPriority w:val="99"/>
    <w:unhideWhenUsed/>
    <w:rsid w:val="009E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34"/>
  </w:style>
  <w:style w:type="paragraph" w:styleId="BalloonText">
    <w:name w:val="Balloon Text"/>
    <w:basedOn w:val="Normal"/>
    <w:link w:val="BalloonTextChar"/>
    <w:uiPriority w:val="99"/>
    <w:semiHidden/>
    <w:unhideWhenUsed/>
    <w:rsid w:val="00C132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F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458C8CE5EB84F9BC2A7061FC8B4A2" ma:contentTypeVersion="12" ma:contentTypeDescription="Create a new document." ma:contentTypeScope="" ma:versionID="68188d91950870a097879650ba759fb6">
  <xsd:schema xmlns:xsd="http://www.w3.org/2001/XMLSchema" xmlns:xs="http://www.w3.org/2001/XMLSchema" xmlns:p="http://schemas.microsoft.com/office/2006/metadata/properties" xmlns:ns3="df69c186-e15f-4afe-bea0-dff016e043ea" xmlns:ns4="8c16c7d0-26a9-4fc5-9f2f-0350a9247c2e" targetNamespace="http://schemas.microsoft.com/office/2006/metadata/properties" ma:root="true" ma:fieldsID="557460abba7b1a20bbe7ca807cb5b3d6" ns3:_="" ns4:_="">
    <xsd:import namespace="df69c186-e15f-4afe-bea0-dff016e043ea"/>
    <xsd:import namespace="8c16c7d0-26a9-4fc5-9f2f-0350a9247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c186-e15f-4afe-bea0-dff016e0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7d0-26a9-4fc5-9f2f-0350a9247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91A42A-AB95-4AE6-8B9B-C6F9C91F2E9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c16c7d0-26a9-4fc5-9f2f-0350a9247c2e"/>
    <ds:schemaRef ds:uri="http://purl.org/dc/terms/"/>
    <ds:schemaRef ds:uri="df69c186-e15f-4afe-bea0-dff016e043e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5E0146-383D-4BBA-9C5B-63B10D05F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AC45D-7BA2-4152-9EC1-59827820E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c186-e15f-4afe-bea0-dff016e043ea"/>
    <ds:schemaRef ds:uri="8c16c7d0-26a9-4fc5-9f2f-0350a9247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Robinson</dc:creator>
  <cp:keywords/>
  <dc:description/>
  <cp:lastModifiedBy>Charlie Green</cp:lastModifiedBy>
  <cp:revision>3</cp:revision>
  <cp:lastPrinted>2020-03-05T15:45:00Z</cp:lastPrinted>
  <dcterms:created xsi:type="dcterms:W3CDTF">2021-03-12T14:38:00Z</dcterms:created>
  <dcterms:modified xsi:type="dcterms:W3CDTF">2021-10-18T15:38:00Z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0x010100E9A458C8CE5EB84F9BC2A7061FC8B4A2</vt:lpwstr>
  </property>
</Properties>
</file>